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B4" w:rsidRDefault="00CA35B4" w:rsidP="00292071">
      <w:pPr>
        <w:tabs>
          <w:tab w:val="left" w:pos="737"/>
        </w:tabs>
        <w:rPr>
          <w:rFonts w:ascii="Calibri" w:hAnsi="Calibri" w:cs="Calibri"/>
          <w:sz w:val="24"/>
          <w:szCs w:val="24"/>
        </w:rPr>
      </w:pPr>
    </w:p>
    <w:p w:rsidR="00CA35B4" w:rsidRPr="00CA35B4" w:rsidRDefault="00CA35B4" w:rsidP="00CA35B4">
      <w:pPr>
        <w:tabs>
          <w:tab w:val="left" w:pos="737"/>
        </w:tabs>
        <w:jc w:val="center"/>
        <w:rPr>
          <w:rFonts w:ascii="Calibri" w:hAnsi="Calibri" w:cs="Calibri"/>
          <w:color w:val="1F4E79" w:themeColor="accent1" w:themeShade="80"/>
          <w:sz w:val="48"/>
          <w:szCs w:val="48"/>
          <w:u w:val="single"/>
        </w:rPr>
      </w:pPr>
      <w:r w:rsidRPr="00CA35B4">
        <w:rPr>
          <w:rFonts w:ascii="Calibri" w:hAnsi="Calibri" w:cs="Calibri"/>
          <w:color w:val="1F4E79" w:themeColor="accent1" w:themeShade="80"/>
          <w:sz w:val="48"/>
          <w:szCs w:val="48"/>
          <w:u w:val="single"/>
        </w:rPr>
        <w:t>Duty of Candour Policy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1. Purpose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This policy outlines AA Kirkhall Surgery’s commitment to comply with the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provisions under the Health (Tobacco, Nicotine etc. and Care) (Scotland) Act 2016, ensuring openness and transparency when an unintended or unexpected incident occurs that results in harm.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2. Scope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This policy applies to all staff employed or contracted b</w:t>
      </w:r>
      <w:r w:rsidR="007221C6">
        <w:rPr>
          <w:rFonts w:ascii="Cambria" w:eastAsia="MS Mincho" w:hAnsi="Cambria"/>
          <w:sz w:val="22"/>
          <w:szCs w:val="22"/>
          <w:lang w:val="en-US"/>
        </w:rPr>
        <w:t>y</w:t>
      </w:r>
      <w:bookmarkStart w:id="0" w:name="_GoBack"/>
      <w:bookmarkEnd w:id="0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Kirkhall Surgery, including clinical, administrative, and support personnel.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 xml:space="preserve">3. Definition of a Duty of </w:t>
      </w:r>
      <w:proofErr w:type="spellStart"/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Candour</w:t>
      </w:r>
      <w:proofErr w:type="spellEnd"/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 xml:space="preserve"> Incident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An incident is considered under the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procedure if it results in: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Death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Permanent impairment of bodily, sensory, motor, or intellectual functions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Shortened life expectancy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Increased treatment or changes to body structure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Psychological harm lasting ≥28 days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Treatment to prevent serious harm or death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4. Procedure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Upon identification of a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incident, the following steps must be taken: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a. Notification</w:t>
      </w:r>
      <w:r w:rsidRPr="00CA35B4">
        <w:rPr>
          <w:rFonts w:ascii="Cambria" w:eastAsia="MS Mincho" w:hAnsi="Cambria"/>
          <w:sz w:val="22"/>
          <w:szCs w:val="22"/>
          <w:lang w:val="en-US"/>
        </w:rPr>
        <w:br/>
        <w:t>Inform the affected person or their family/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carer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as soon as possible. Provide a clear explanation of what happened.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b. Apology</w:t>
      </w:r>
      <w:r w:rsidRPr="00CA35B4">
        <w:rPr>
          <w:rFonts w:ascii="Cambria" w:eastAsia="MS Mincho" w:hAnsi="Cambria"/>
          <w:sz w:val="22"/>
          <w:szCs w:val="22"/>
          <w:lang w:val="en-US"/>
        </w:rPr>
        <w:br/>
        <w:t>Offer a sincere apology, acknowledging the incident and its impact.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c. Review</w:t>
      </w:r>
      <w:r w:rsidRPr="00CA35B4">
        <w:rPr>
          <w:rFonts w:ascii="Cambria" w:eastAsia="MS Mincho" w:hAnsi="Cambria"/>
          <w:sz w:val="22"/>
          <w:szCs w:val="22"/>
          <w:lang w:val="en-US"/>
        </w:rPr>
        <w:br/>
        <w:t>Conduct an internal review to understand the cause and contributing factors. Document findings and learning outcomes.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d. Meeting</w:t>
      </w:r>
      <w:r w:rsidRPr="00CA35B4">
        <w:rPr>
          <w:rFonts w:ascii="Cambria" w:eastAsia="MS Mincho" w:hAnsi="Cambria"/>
          <w:sz w:val="22"/>
          <w:szCs w:val="22"/>
          <w:lang w:val="en-US"/>
        </w:rPr>
        <w:br/>
        <w:t>Offer a meeting with the affected person/family to discuss the incident and findings.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lastRenderedPageBreak/>
        <w:t>e. Written Account</w:t>
      </w:r>
      <w:r w:rsidRPr="00CA35B4">
        <w:rPr>
          <w:rFonts w:ascii="Cambria" w:eastAsia="MS Mincho" w:hAnsi="Cambria"/>
          <w:sz w:val="22"/>
          <w:szCs w:val="22"/>
          <w:lang w:val="en-US"/>
        </w:rPr>
        <w:br/>
        <w:t>Provide a written summary of the incident, review findings, and actions taken.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f. Support</w:t>
      </w:r>
      <w:r w:rsidRPr="00CA35B4">
        <w:rPr>
          <w:rFonts w:ascii="Cambria" w:eastAsia="MS Mincho" w:hAnsi="Cambria"/>
          <w:sz w:val="22"/>
          <w:szCs w:val="22"/>
          <w:lang w:val="en-US"/>
        </w:rPr>
        <w:br/>
        <w:t>Offer emotional and practical support to those affected.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5. Responsibilities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Practice Manager: Oversees implementation and compliance.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Clinical Lead: Ensures clinical incidents are reviewed and reported.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All Staff: Must report incidents and cooperate with the procedure.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6. Training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All staff will receive: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-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training via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Turas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Learn or equivalent.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Induction training for new staff.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- Refresher sessions following any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incident.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7. Reporting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An Annual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Report will be published and made available to the public. The report will include: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Number of incidents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Description of incidents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Actions taken</w:t>
      </w:r>
    </w:p>
    <w:p w:rsidR="00CA35B4" w:rsidRPr="00CA35B4" w:rsidRDefault="00CA35B4" w:rsidP="00CA35B4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>- Learning outcomes</w:t>
      </w:r>
    </w:p>
    <w:p w:rsidR="00CA35B4" w:rsidRPr="00CA35B4" w:rsidRDefault="00CA35B4" w:rsidP="00CA35B4">
      <w:pPr>
        <w:keepNext/>
        <w:keepLines/>
        <w:spacing w:before="480" w:line="276" w:lineRule="auto"/>
        <w:outlineLvl w:val="0"/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</w:pPr>
      <w:r w:rsidRPr="00CA35B4">
        <w:rPr>
          <w:rFonts w:ascii="Calibri" w:eastAsia="MS Gothic" w:hAnsi="Calibri"/>
          <w:b/>
          <w:bCs/>
          <w:color w:val="365F91"/>
          <w:sz w:val="28"/>
          <w:szCs w:val="28"/>
          <w:lang w:val="en-US"/>
        </w:rPr>
        <w:t>8. Monitoring and Review</w:t>
      </w:r>
    </w:p>
    <w:p w:rsidR="00CA35B4" w:rsidRPr="00CA35B4" w:rsidRDefault="00CA35B4" w:rsidP="00CA35B4">
      <w:pPr>
        <w:spacing w:after="200" w:line="276" w:lineRule="auto"/>
        <w:rPr>
          <w:rFonts w:ascii="Cambria" w:eastAsia="MS Mincho" w:hAnsi="Cambria"/>
          <w:sz w:val="22"/>
          <w:szCs w:val="22"/>
          <w:lang w:val="en-US"/>
        </w:rPr>
      </w:pPr>
      <w:r w:rsidRPr="00CA35B4">
        <w:rPr>
          <w:rFonts w:ascii="Cambria" w:eastAsia="MS Mincho" w:hAnsi="Cambria"/>
          <w:sz w:val="22"/>
          <w:szCs w:val="22"/>
          <w:lang w:val="en-US"/>
        </w:rPr>
        <w:t xml:space="preserve">This policy will be reviewed annually or following any Duty of </w:t>
      </w:r>
      <w:proofErr w:type="spellStart"/>
      <w:r w:rsidRPr="00CA35B4">
        <w:rPr>
          <w:rFonts w:ascii="Cambria" w:eastAsia="MS Mincho" w:hAnsi="Cambria"/>
          <w:sz w:val="22"/>
          <w:szCs w:val="22"/>
          <w:lang w:val="en-US"/>
        </w:rPr>
        <w:t>Candour</w:t>
      </w:r>
      <w:proofErr w:type="spellEnd"/>
      <w:r w:rsidRPr="00CA35B4">
        <w:rPr>
          <w:rFonts w:ascii="Cambria" w:eastAsia="MS Mincho" w:hAnsi="Cambria"/>
          <w:sz w:val="22"/>
          <w:szCs w:val="22"/>
          <w:lang w:val="en-US"/>
        </w:rPr>
        <w:t xml:space="preserve"> incident to ensure continued compliance and improvement.</w:t>
      </w:r>
    </w:p>
    <w:p w:rsidR="00292071" w:rsidRPr="00926E95" w:rsidRDefault="00292071" w:rsidP="00292071">
      <w:pPr>
        <w:tabs>
          <w:tab w:val="left" w:pos="73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6200BD" w:rsidRDefault="006200BD" w:rsidP="003E790E">
      <w:pPr>
        <w:tabs>
          <w:tab w:val="left" w:pos="737"/>
        </w:tabs>
        <w:rPr>
          <w:rFonts w:ascii="Calibri" w:hAnsi="Calibri" w:cs="Calibri"/>
          <w:sz w:val="24"/>
          <w:szCs w:val="24"/>
        </w:rPr>
      </w:pPr>
    </w:p>
    <w:p w:rsidR="009E5DE8" w:rsidRPr="007F6F68" w:rsidRDefault="009E5DE8" w:rsidP="007F6F68">
      <w:pPr>
        <w:tabs>
          <w:tab w:val="left" w:pos="737"/>
        </w:tabs>
        <w:rPr>
          <w:rFonts w:ascii="Calibri" w:hAnsi="Calibri" w:cs="Calibri"/>
          <w:szCs w:val="24"/>
        </w:rPr>
      </w:pPr>
    </w:p>
    <w:sectPr w:rsidR="009E5DE8" w:rsidRPr="007F6F68" w:rsidSect="00CA35B4">
      <w:headerReference w:type="default" r:id="rId7"/>
      <w:pgSz w:w="12240" w:h="15840"/>
      <w:pgMar w:top="340" w:right="1440" w:bottom="57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A1" w:rsidRDefault="00A516A1" w:rsidP="009E5DE8">
      <w:r>
        <w:separator/>
      </w:r>
    </w:p>
  </w:endnote>
  <w:endnote w:type="continuationSeparator" w:id="0">
    <w:p w:rsidR="00A516A1" w:rsidRDefault="00A516A1" w:rsidP="009E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A1" w:rsidRDefault="00A516A1" w:rsidP="009E5DE8">
      <w:r>
        <w:separator/>
      </w:r>
    </w:p>
  </w:footnote>
  <w:footnote w:type="continuationSeparator" w:id="0">
    <w:p w:rsidR="00A516A1" w:rsidRDefault="00A516A1" w:rsidP="009E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DE8" w:rsidRPr="00663CB9" w:rsidRDefault="007221C6" w:rsidP="009E5DE8">
    <w:pPr>
      <w:pStyle w:val="Head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211.55pt;margin-top:-7.7pt;width:44.85pt;height:87pt;z-index:251657728;visibility:visible;mso-position-horizontal-relative:margin;mso-width-relative:margin;mso-height-relative:margin" o:allowincell="f">
          <v:imagedata r:id="rId1" o:title=""/>
          <w10:wrap type="square" side="right" anchorx="margin"/>
        </v:shape>
      </w:pict>
    </w:r>
    <w:r w:rsidR="00CA35B4">
      <w:rPr>
        <w:rFonts w:ascii="Calibri" w:hAnsi="Calibri" w:cs="Calibri"/>
        <w:sz w:val="22"/>
        <w:szCs w:val="22"/>
      </w:rPr>
      <w:tab/>
    </w:r>
    <w:r w:rsidR="00CA35B4">
      <w:rPr>
        <w:rFonts w:ascii="Calibri" w:hAnsi="Calibri" w:cs="Calibri"/>
        <w:sz w:val="22"/>
        <w:szCs w:val="22"/>
      </w:rPr>
      <w:tab/>
    </w:r>
  </w:p>
  <w:p w:rsidR="009E5DE8" w:rsidRPr="00663CB9" w:rsidRDefault="009D553C" w:rsidP="009E5DE8">
    <w:pPr>
      <w:pStyle w:val="Head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  <w:p w:rsidR="00CA35B4" w:rsidRDefault="00CA35B4" w:rsidP="009E5DE8">
    <w:pPr>
      <w:pStyle w:val="Header"/>
      <w:jc w:val="center"/>
      <w:rPr>
        <w:rFonts w:ascii="Calibri" w:hAnsi="Calibri" w:cs="Calibri"/>
        <w:b/>
        <w:sz w:val="28"/>
        <w:szCs w:val="28"/>
        <w:u w:val="single"/>
      </w:rPr>
    </w:pPr>
  </w:p>
  <w:p w:rsidR="00CA35B4" w:rsidRDefault="00CA35B4" w:rsidP="009E5DE8">
    <w:pPr>
      <w:pStyle w:val="Header"/>
      <w:jc w:val="center"/>
      <w:rPr>
        <w:rFonts w:ascii="Calibri" w:hAnsi="Calibri" w:cs="Calibri"/>
        <w:b/>
        <w:sz w:val="28"/>
        <w:szCs w:val="28"/>
        <w:u w:val="single"/>
      </w:rPr>
    </w:pPr>
  </w:p>
  <w:p w:rsidR="00CA35B4" w:rsidRDefault="00CA35B4" w:rsidP="009E5DE8">
    <w:pPr>
      <w:pStyle w:val="Header"/>
      <w:jc w:val="center"/>
      <w:rPr>
        <w:rFonts w:ascii="Calibri" w:hAnsi="Calibri" w:cs="Calibri"/>
        <w:b/>
        <w:sz w:val="28"/>
        <w:szCs w:val="28"/>
        <w:u w:val="single"/>
      </w:rPr>
    </w:pPr>
  </w:p>
  <w:p w:rsidR="009E5DE8" w:rsidRPr="00663CB9" w:rsidRDefault="009E5DE8" w:rsidP="009E5DE8">
    <w:pPr>
      <w:pStyle w:val="Header"/>
      <w:jc w:val="center"/>
      <w:rPr>
        <w:rFonts w:ascii="Calibri" w:hAnsi="Calibri" w:cs="Calibri"/>
        <w:b/>
        <w:sz w:val="28"/>
        <w:szCs w:val="28"/>
        <w:u w:val="single"/>
      </w:rPr>
    </w:pPr>
    <w:r w:rsidRPr="00663CB9">
      <w:rPr>
        <w:rFonts w:ascii="Calibri" w:hAnsi="Calibri" w:cs="Calibri"/>
        <w:b/>
        <w:sz w:val="28"/>
        <w:szCs w:val="28"/>
        <w:u w:val="single"/>
      </w:rPr>
      <w:t>KIRKHALL SURGERY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5671"/>
    <w:multiLevelType w:val="singleLevel"/>
    <w:tmpl w:val="E23A5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AEA"/>
    <w:rsid w:val="000D234F"/>
    <w:rsid w:val="000D4F5E"/>
    <w:rsid w:val="00142463"/>
    <w:rsid w:val="0015593E"/>
    <w:rsid w:val="00292071"/>
    <w:rsid w:val="002E331D"/>
    <w:rsid w:val="002E5A12"/>
    <w:rsid w:val="003E790E"/>
    <w:rsid w:val="00442B02"/>
    <w:rsid w:val="004531E2"/>
    <w:rsid w:val="004929B7"/>
    <w:rsid w:val="006200BD"/>
    <w:rsid w:val="00663CB9"/>
    <w:rsid w:val="0071041E"/>
    <w:rsid w:val="007221C6"/>
    <w:rsid w:val="00795AEA"/>
    <w:rsid w:val="007A1424"/>
    <w:rsid w:val="007F5341"/>
    <w:rsid w:val="007F6F68"/>
    <w:rsid w:val="008774DE"/>
    <w:rsid w:val="008B53F8"/>
    <w:rsid w:val="00914B1A"/>
    <w:rsid w:val="00926E95"/>
    <w:rsid w:val="009D553C"/>
    <w:rsid w:val="009E5DE8"/>
    <w:rsid w:val="009F1802"/>
    <w:rsid w:val="00A313BC"/>
    <w:rsid w:val="00A516A1"/>
    <w:rsid w:val="00A61109"/>
    <w:rsid w:val="00A94606"/>
    <w:rsid w:val="00AD7591"/>
    <w:rsid w:val="00B32339"/>
    <w:rsid w:val="00B62667"/>
    <w:rsid w:val="00C16859"/>
    <w:rsid w:val="00CA35B4"/>
    <w:rsid w:val="00D40038"/>
    <w:rsid w:val="00D45779"/>
    <w:rsid w:val="00E570DA"/>
    <w:rsid w:val="00E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0DB02E-6262-4823-92B3-0D99EEE6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thinThickSmallGap" w:sz="24" w:space="1" w:color="auto"/>
      </w:pBdr>
      <w:outlineLvl w:val="0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thinThickSmallGap" w:sz="24" w:space="1" w:color="auto"/>
      </w:pBdr>
    </w:pPr>
    <w:rPr>
      <w:rFonts w:ascii="Garamond" w:hAnsi="Garamond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5D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5DE8"/>
    <w:rPr>
      <w:lang w:eastAsia="en-US"/>
    </w:rPr>
  </w:style>
  <w:style w:type="paragraph" w:styleId="Footer">
    <w:name w:val="footer"/>
    <w:basedOn w:val="Normal"/>
    <w:link w:val="FooterChar"/>
    <w:rsid w:val="009E5D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5D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Mark Deans (AA Kirkhall Surgery)</cp:lastModifiedBy>
  <cp:revision>3</cp:revision>
  <cp:lastPrinted>2009-08-24T15:36:00Z</cp:lastPrinted>
  <dcterms:created xsi:type="dcterms:W3CDTF">2025-08-18T11:09:00Z</dcterms:created>
  <dcterms:modified xsi:type="dcterms:W3CDTF">2025-08-18T11:29:00Z</dcterms:modified>
</cp:coreProperties>
</file>